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59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Prof. Błażej Śliwiński</w:t>
      </w:r>
    </w:p>
    <w:bookmarkEnd w:id="0"/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Obrazki z Gdańska</w:t>
      </w: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pewnej zagadce Bramy Stągiewnej </w:t>
      </w: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Bramę, której baszty popularne zwane są Stągwiami Mlecznymi (jak tłumaczono już w jednym z pierwszych przewodników po Gdańsku z 1843: „ze względu na swój kształt”), wybudowano w latach 1517–1519. Łączy ona Spichlerze (to nazwa urzędowa, oficjalna, choć i tak wszyscy mówią o Wyspie Spichrzów) z Długimi Ogrodami. Składała się z dwóch baszt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przesklepionym przejazdem, większej od strony północnej i mniejszej od południa, widać to na jej rysunku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. 1) na planie Gdańska z około 1600 roku. W XVII wieku między innymi nad przejazdem dodano nadbudówkę, co uchwycił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słynny polski malarz </w:t>
      </w:r>
      <w:r w:rsidRPr="0059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Zygmunt Vogel</w:t>
      </w: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, z polecenia króla Stanisława Augusta w latach 1788–1790 przebywający w Gdańsku i rysujący bądź malujący niektóre jego zabytki. Podczas wojen napoleońskich, w czasie oblężenia Gdańska w 1813, zniszczeniu uległa i nadbudówka i część górna mniejszej z baszt. Do odbudowy nigdy nie doszło, mniejsza z baszt stała się przez to jeszcze mniejsza, jak widać to choćby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. 3) na zdjęciu z 1901 (ciekawym także ze względu na…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pewne zanieczyszczenia na ulicy). W 1885 na moście 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Stągiewnym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ułożono szyny dla tramwaju konnego, panująca ciasnota powodowała, że pojazdy musiały ciasnym łukiem objeżdżać szerszą basztę. W związku z tym w początku XX wieku rozważano nawet rozbiórkę obu baszt. Jak pisał w 1928 architekt i urbanista </w:t>
      </w:r>
      <w:r w:rsidRPr="0059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Otto </w:t>
      </w:r>
      <w:proofErr w:type="spellStart"/>
      <w:r w:rsidRPr="00595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Kloeppel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latach 1926–1927 rektor Politechniki Gdańskiej), „po rozpaczliwej walce o życie” bramy, skończyło się na szczęście tylko na przebiciu w baszcie niżej przejścia dla pieszych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4), tramwaje do czasu przebudowy mostu 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Stągiewnego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(zakończonej w 1937), odciążająco kursowały przez sąsiedni (od 1945 nieistniejący) most Na Szopy/ 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Matowników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. Drugą wojnę światową zabytek przetrwał w dobrym stanie, przejście w baszcie niższej raz zamurowano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. 5), raz otwierano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6), w każdym bądź razie „odtworzono” nadbudówkę między obu basztami. </w:t>
      </w: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 się, że brama nie miała żadnych ozdób, za wyjątkiem jedynie trzech herbów, umieszczonych pod okienną wnęką strzelecką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7, jak się dokładnie przyjrzeć, to widać herby też na 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. 3–6). I to jest właśnie tytułowa zagadka. Taką triadę herbów spotkać można i w wypadku innych gdańskich bram, zachowały się – i można je oglądać – nad przejściami bram Mariackiej i Straganiarskiej, od strony zewnętrznej, od Motławy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8). W środku znajduje się orzeł, oczywiście symbol państwa polskiego. Z lewej dla patrzącego – ale wedle </w:t>
      </w: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 heraldyki z prawej (bo herby opisuje się z pozycji osoby stojącej za tarcza) – tzw. orzeł zbrojny, czyli herb prowincji Prusy Królewskie. Były to ziemie przyłączone do Polski po pokonaniu Krzyżaków w efekcie wojny trzynastoletniej (1454–1466). Herb dla tych ziem opracowano na dworze króla Kazimierza Jagiellończyka i przedstawiał on pruskiego orła, z piersi którego wychodziła ręka z mieczem. Ręka mieczowa to oczywiści część herbu Litwy, Pogoni. Po prawej stronie dla patrzącego (w rzeczywistości po lewej) umieszczono herb Gdańska, już z koroną, dodaną miastu przez tego samego króla. Tarcza z orłem ustawiona była pionowo, dwie boczne były pochylone, składając heraldyczny pokłon najważniejszemu polskiemu godłu. Pokłon, który wyrażał typowe feudalne podporządkowanie królowi ziemi i miasta. Nie jest prawdopodobne, by wykonując identyczną dekorację heraldyczną dla bramy Stągiewnej chciano w tym jednym wypadku herby ustawić pionowo – tak jak widzimy je dziś – bez owego heraldycznego pokłonu. Czyli manifestować na jednej z wjazdowych bram miejskich że owszem, jesteśmy w państwie rządzonym przez króla polskiego, ale aż takiej jego mocnej władzy nie potrzebujemy. W czasach, kiedy budowano bramę taka manifestacja nie była możliwa, a to z uwagi zarówno na znane ówczesne kłopoty finansowe miasta (sprawa Ferberów) i przede wszystkim wojnę polsko-krzyżacką, do której Krzyżacy przystąpili m.in. z postulatem oddania im przez Polskę Gdańska. Do zmiany przedstawień heraldycznych doszło dopiero po wojnie Gdańska z królem Stefanem Batorym (1576–1577). Zrezygnowano wówczas z triady herbowej na rzecz prezentowania na miejskich budowlach samego już tylko herbu miasta, ale z lwami-trzymaczami, tak jak to można oglądać choćby nad wejściami do Wielkiej Zbrojowni. Co więcej, zrezygnowano także z innego wyrazu podkreślającego dawne całkowite podporządkowanie królowi. Dotychczas górny krzyż z gdańskiego herbu wchodził w otok umieszczonej nad nim korony, co było typowym odwołaniem do hołdu lennego (rycerz składając hołd klęcząc wsuwał swoje złożone dłonie w „daszek” zrobiony z rak seniora). Po wojnie ze Stefanem Batorym w prezentacji gdańskiego herbu górny krzyż wysunięto z otoku korony i tak jak dziś i korona i dwa krzyże występują oddzielnie. Herb Gdańska z bramy Stągiewnej ma zaś kształt dawny, z górnym krzyżem wsuniętym w otok korony. Tablice z herbową triada musiano więc wykonać w chwili budowy bramy Stągiewnej. </w:t>
      </w: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Odmienny, pionowy układ tablic herbowych i dziwne miejsce (pod strzelecką wnęką okienną na jednej z bramnych baszt, a nie nad przejściem bramnym) skłania do domysłu, że nie było to pierwotne miejsce ich zamontowania. Można zaryzykować hipotezę, że pierwotnie zdobiły właśnie nieznane nam z wyglądu przejście bramne ujęte obu basztami i ustawione były tak jak i na innych gdańskich bramach, w pokłonie. Dopiero później musiało dojść doszło do zmiany miejsca i z uwagi na zbyt małą przestrzeń we wnęce okiennej do wyprostowania tarcz </w:t>
      </w: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herbowych. Czy jest to trafne rozwiązanie zagadki oczywiście nie wiadomo, ale wszystko co dziwne i odmienne wymaga stawiania pytań i prób odpowiedzi. </w:t>
      </w: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kilka zdań o owej wnęce okiennej w wyższej baszcie. 8 IX 1935 odsłonięto w niej tablice pamiątkową ku czci żołnierzy gdańskiego 128 pułku piechoty z okresu I wojny światowej, (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9, jak się przyjrzeć, to widać tablice także na </w:t>
      </w:r>
      <w:proofErr w:type="spellStart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</w:t>
      </w:r>
      <w:proofErr w:type="spellEnd"/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. 10). Dziś wnęki nie ma, została zamurowana, ale ciekawe czy nadal pod tym zamurowaniem znajduje się owa tablica, czy też (co chyba jednak bardziej prawdopodobne) uległa po 1945 roku zniszczeniu?</w:t>
      </w:r>
    </w:p>
    <w:p w:rsidR="00595414" w:rsidRPr="00595414" w:rsidRDefault="00595414" w:rsidP="005954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14">
        <w:rPr>
          <w:rFonts w:ascii="Times New Roman" w:eastAsia="Times New Roman" w:hAnsi="Times New Roman" w:cs="Times New Roman"/>
          <w:sz w:val="24"/>
          <w:szCs w:val="24"/>
          <w:lang w:eastAsia="pl-PL"/>
        </w:rPr>
        <w:t>Ps. Pod koniec II wojny światowej herby na baszcie zdemontowano, odnalezione, ponownie zostały umieszczone na poprzednim miejscu w 1964 roku, przy czym nie odnaleziono tablicy z herbem Gdańska. Obecna tablica jest rekonstrukcją wykonaną na podstawie dawnych zdjęć.</w:t>
      </w:r>
    </w:p>
    <w:p w:rsidR="003D7301" w:rsidRDefault="003D7301" w:rsidP="00595414">
      <w:pPr>
        <w:spacing w:line="360" w:lineRule="auto"/>
        <w:jc w:val="both"/>
      </w:pPr>
    </w:p>
    <w:sectPr w:rsidR="003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14"/>
    <w:rsid w:val="003D7301"/>
    <w:rsid w:val="005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6D4"/>
  <w15:chartTrackingRefBased/>
  <w15:docId w15:val="{4CD6ABB4-686A-42F0-B4B8-89420164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B0A9EE62.dotm</Template>
  <TotalTime>3</TotalTime>
  <Pages>3</Pages>
  <Words>907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1</cp:revision>
  <dcterms:created xsi:type="dcterms:W3CDTF">2020-07-17T07:30:00Z</dcterms:created>
  <dcterms:modified xsi:type="dcterms:W3CDTF">2020-07-17T07:33:00Z</dcterms:modified>
</cp:coreProperties>
</file>